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F7CEF">
      <w:pPr>
        <w:spacing w:after="312" w:afterLines="1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ascii="Times New Roman" w:hAnsi="Times New Roman" w:eastAsia="仿宋_GB2312"/>
          <w:kern w:val="0"/>
          <w:sz w:val="32"/>
          <w:szCs w:val="32"/>
        </w:rPr>
        <w:t>1</w:t>
      </w:r>
    </w:p>
    <w:p w14:paraId="46E65633">
      <w:pPr>
        <w:rPr>
          <w:rFonts w:ascii="Times New Roman" w:hAnsi="Times New Roman" w:eastAsia="方正小标宋简体"/>
          <w:sz w:val="48"/>
          <w:szCs w:val="48"/>
        </w:rPr>
      </w:pPr>
    </w:p>
    <w:p w14:paraId="27AB7DF8">
      <w:pPr>
        <w:rPr>
          <w:rFonts w:ascii="Times New Roman" w:hAnsi="Times New Roman" w:eastAsia="方正小标宋简体"/>
          <w:sz w:val="48"/>
          <w:szCs w:val="48"/>
        </w:rPr>
      </w:pPr>
    </w:p>
    <w:p w14:paraId="3D3337BB">
      <w:pPr>
        <w:rPr>
          <w:rFonts w:ascii="Times New Roman" w:hAnsi="Times New Roman" w:eastAsia="方正小标宋简体"/>
          <w:sz w:val="48"/>
          <w:szCs w:val="48"/>
        </w:rPr>
      </w:pPr>
    </w:p>
    <w:p w14:paraId="1F24BD2F">
      <w:pPr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部门整体支出绩效自评报告</w:t>
      </w:r>
    </w:p>
    <w:p w14:paraId="4A60F153">
      <w:pPr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（</w:t>
      </w:r>
      <w:r>
        <w:rPr>
          <w:rFonts w:ascii="Times New Roman" w:hAnsi="Times New Roman" w:eastAsia="方正小标宋简体"/>
          <w:sz w:val="36"/>
          <w:szCs w:val="36"/>
        </w:rPr>
        <w:t>202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4</w:t>
      </w:r>
      <w:r>
        <w:rPr>
          <w:rFonts w:ascii="Times New Roman" w:hAnsi="Times New Roman" w:eastAsia="方正小标宋简体"/>
          <w:sz w:val="36"/>
          <w:szCs w:val="36"/>
        </w:rPr>
        <w:t>年度</w:t>
      </w:r>
      <w:r>
        <w:rPr>
          <w:rFonts w:hint="eastAsia" w:ascii="Times New Roman" w:hAnsi="Times New Roman" w:eastAsia="方正小标宋简体"/>
          <w:sz w:val="36"/>
          <w:szCs w:val="36"/>
        </w:rPr>
        <w:t>）</w:t>
      </w:r>
    </w:p>
    <w:p w14:paraId="744441C9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7633A26E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2CCFEE95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0E78D343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196E21AB">
      <w:pPr>
        <w:rPr>
          <w:rFonts w:ascii="Times New Roman" w:hAnsi="Times New Roman" w:eastAsia="黑体"/>
          <w:sz w:val="32"/>
          <w:szCs w:val="32"/>
        </w:rPr>
      </w:pPr>
    </w:p>
    <w:p w14:paraId="04F9E5E1">
      <w:pPr>
        <w:jc w:val="center"/>
        <w:rPr>
          <w:rFonts w:ascii="Times New Roman" w:hAnsi="Times New Roman"/>
          <w:sz w:val="36"/>
          <w:szCs w:val="36"/>
        </w:rPr>
      </w:pPr>
    </w:p>
    <w:p w14:paraId="50A65D53">
      <w:pPr>
        <w:jc w:val="center"/>
        <w:rPr>
          <w:rFonts w:ascii="Times New Roman" w:hAnsi="Times New Roman"/>
          <w:sz w:val="36"/>
          <w:szCs w:val="36"/>
        </w:rPr>
      </w:pPr>
    </w:p>
    <w:p w14:paraId="6B7EC92F">
      <w:pPr>
        <w:jc w:val="center"/>
        <w:rPr>
          <w:rFonts w:ascii="Times New Roman" w:hAnsi="Times New Roman"/>
          <w:sz w:val="36"/>
          <w:szCs w:val="36"/>
        </w:rPr>
      </w:pPr>
    </w:p>
    <w:p w14:paraId="09BB38D0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单位名称</w:t>
      </w:r>
      <w:r>
        <w:rPr>
          <w:rFonts w:hint="eastAsia" w:ascii="Times New Roman" w:hAnsi="Times New Roman"/>
          <w:sz w:val="36"/>
          <w:szCs w:val="36"/>
        </w:rPr>
        <w:t>：衡阳市衡钢中学（盖章）</w:t>
      </w:r>
    </w:p>
    <w:p w14:paraId="5CE0D2D2">
      <w:pPr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/>
          <w:sz w:val="36"/>
          <w:szCs w:val="36"/>
        </w:rPr>
        <w:t>主要负责人签字</w:t>
      </w:r>
      <w:r>
        <w:rPr>
          <w:rFonts w:ascii="Times New Roman" w:hAnsi="Times New Roman"/>
          <w:sz w:val="36"/>
          <w:szCs w:val="36"/>
        </w:rPr>
        <w:t>：</w:t>
      </w:r>
      <w:r>
        <w:rPr>
          <w:rFonts w:hint="eastAsia" w:ascii="Times New Roman" w:hAnsi="Times New Roman"/>
          <w:sz w:val="36"/>
          <w:szCs w:val="36"/>
        </w:rPr>
        <w:t>郭平贵</w:t>
      </w:r>
    </w:p>
    <w:p w14:paraId="347AE8E4">
      <w:pPr>
        <w:jc w:val="center"/>
        <w:rPr>
          <w:rFonts w:ascii="Times New Roman" w:hAnsi="Times New Roman" w:eastAsia="黑体"/>
          <w:sz w:val="36"/>
          <w:szCs w:val="36"/>
        </w:rPr>
      </w:pPr>
    </w:p>
    <w:p w14:paraId="0C128466"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2</w:t>
      </w:r>
      <w:r>
        <w:rPr>
          <w:rFonts w:ascii="Times New Roman" w:hAnsi="Times New Roman" w:eastAsia="黑体"/>
          <w:sz w:val="32"/>
          <w:szCs w:val="32"/>
        </w:rPr>
        <w:t>02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黑体"/>
          <w:sz w:val="32"/>
          <w:szCs w:val="32"/>
        </w:rPr>
        <w:t xml:space="preserve">年 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黑体"/>
          <w:sz w:val="32"/>
          <w:szCs w:val="32"/>
        </w:rPr>
        <w:t xml:space="preserve">月 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17</w:t>
      </w:r>
      <w:r>
        <w:rPr>
          <w:rFonts w:ascii="Times New Roman" w:hAnsi="Times New Roman" w:eastAsia="黑体"/>
          <w:sz w:val="32"/>
          <w:szCs w:val="32"/>
        </w:rPr>
        <w:t>日</w:t>
      </w:r>
    </w:p>
    <w:p w14:paraId="58173819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5FB09F08">
      <w:pPr>
        <w:spacing w:line="600" w:lineRule="exact"/>
        <w:rPr>
          <w:rFonts w:ascii="Times New Roman" w:hAnsi="Times New Roman" w:eastAsia="方正小标宋简体"/>
          <w:sz w:val="44"/>
          <w:szCs w:val="44"/>
        </w:rPr>
      </w:pPr>
    </w:p>
    <w:p w14:paraId="79B1BD9B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5717CD65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部门整体支出绩效自评报告</w:t>
      </w:r>
    </w:p>
    <w:p w14:paraId="0D7EA25F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251B8BE0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36192020">
      <w:pPr>
        <w:pStyle w:val="4"/>
        <w:widowControl/>
        <w:numPr>
          <w:ilvl w:val="0"/>
          <w:numId w:val="1"/>
        </w:numPr>
        <w:ind w:firstLineChars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部门、单位基本情况</w:t>
      </w:r>
    </w:p>
    <w:p w14:paraId="2B5D2F2B">
      <w:pPr>
        <w:widowControl/>
        <w:shd w:val="clear" w:color="auto" w:fill="FFFFFF"/>
        <w:spacing w:line="580" w:lineRule="atLeast"/>
        <w:ind w:firstLine="280" w:firstLineChars="1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、衡阳市衡钢中学是全额拨款事业单位，是一所公办完全中学。</w:t>
      </w:r>
    </w:p>
    <w:p w14:paraId="6702779F">
      <w:pPr>
        <w:widowControl/>
        <w:shd w:val="clear" w:color="auto" w:fill="FFFFFF"/>
        <w:spacing w:line="580" w:lineRule="atLeast"/>
        <w:ind w:firstLine="280" w:firstLineChars="1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2、衡阳市衡钢中学系独立核算机构。</w:t>
      </w:r>
    </w:p>
    <w:p w14:paraId="75BCCD43">
      <w:pPr>
        <w:widowControl/>
        <w:shd w:val="clear" w:color="auto" w:fill="FFFFFF"/>
        <w:spacing w:line="580" w:lineRule="atLeast"/>
        <w:ind w:firstLine="280" w:firstLineChars="1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3</w:t>
      </w:r>
      <w:r>
        <w:rPr>
          <w:rFonts w:hint="eastAsia" w:ascii="仿宋" w:hAnsi="仿宋" w:eastAsia="仿宋" w:cs="宋体"/>
          <w:kern w:val="0"/>
          <w:sz w:val="28"/>
          <w:szCs w:val="28"/>
        </w:rPr>
        <w:t>、年末在职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97</w:t>
      </w:r>
      <w:r>
        <w:rPr>
          <w:rFonts w:hint="eastAsia" w:ascii="仿宋" w:hAnsi="仿宋" w:eastAsia="仿宋" w:cs="宋体"/>
          <w:kern w:val="0"/>
          <w:sz w:val="28"/>
          <w:szCs w:val="28"/>
        </w:rPr>
        <w:t>人，退休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64</w:t>
      </w:r>
      <w:r>
        <w:rPr>
          <w:rFonts w:hint="eastAsia" w:ascii="仿宋" w:hAnsi="仿宋" w:eastAsia="仿宋" w:cs="宋体"/>
          <w:kern w:val="0"/>
          <w:sz w:val="28"/>
          <w:szCs w:val="28"/>
        </w:rPr>
        <w:t>人，共计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261</w:t>
      </w:r>
      <w:r>
        <w:rPr>
          <w:rFonts w:hint="eastAsia" w:ascii="仿宋" w:hAnsi="仿宋" w:eastAsia="仿宋" w:cs="宋体"/>
          <w:kern w:val="0"/>
          <w:sz w:val="28"/>
          <w:szCs w:val="28"/>
        </w:rPr>
        <w:t>人。</w:t>
      </w:r>
    </w:p>
    <w:p w14:paraId="69DF517D">
      <w:pPr>
        <w:pStyle w:val="4"/>
        <w:widowControl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二、一般公共预算支出情况</w:t>
      </w:r>
    </w:p>
    <w:p w14:paraId="29D343B1">
      <w:pPr>
        <w:widowControl/>
        <w:shd w:val="clear" w:color="auto" w:fill="FFFFFF"/>
        <w:spacing w:line="580" w:lineRule="atLeast"/>
        <w:ind w:firstLine="420"/>
        <w:jc w:val="left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（一）基本支出情况</w:t>
      </w:r>
    </w:p>
    <w:p w14:paraId="615B007B">
      <w:pPr>
        <w:widowControl/>
        <w:shd w:val="clear" w:color="auto" w:fill="FFFFFF"/>
        <w:spacing w:line="580" w:lineRule="atLeast"/>
        <w:ind w:firstLine="42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、</w:t>
      </w:r>
      <w:r>
        <w:rPr>
          <w:rFonts w:ascii="仿宋" w:hAnsi="仿宋" w:eastAsia="仿宋" w:cs="宋体"/>
          <w:kern w:val="0"/>
          <w:sz w:val="28"/>
          <w:szCs w:val="28"/>
        </w:rPr>
        <w:t>202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宋体"/>
          <w:kern w:val="0"/>
          <w:sz w:val="28"/>
          <w:szCs w:val="28"/>
        </w:rPr>
        <w:t>年度衡钢中学基本支出的主要用途、范围以及资金的管理情况（见下表）。</w:t>
      </w:r>
    </w:p>
    <w:tbl>
      <w:tblPr>
        <w:tblStyle w:val="2"/>
        <w:tblW w:w="9245" w:type="dxa"/>
        <w:tblInd w:w="93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8"/>
        <w:gridCol w:w="4009"/>
        <w:gridCol w:w="2292"/>
        <w:gridCol w:w="1656"/>
      </w:tblGrid>
      <w:tr w14:paraId="23208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52BC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40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142D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主要用途、范围</w:t>
            </w:r>
          </w:p>
        </w:tc>
        <w:tc>
          <w:tcPr>
            <w:tcW w:w="394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1361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资金使用情况</w:t>
            </w:r>
          </w:p>
        </w:tc>
      </w:tr>
      <w:tr w14:paraId="2AC2D5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8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BEE2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人员经费</w:t>
            </w:r>
          </w:p>
        </w:tc>
        <w:tc>
          <w:tcPr>
            <w:tcW w:w="4009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80F5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养老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医疗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保险、住房公积金等支出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054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工资福利支出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D706B"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3311.02</w:t>
            </w:r>
          </w:p>
        </w:tc>
      </w:tr>
      <w:tr w14:paraId="301CB2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2BE2F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009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CE598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64BF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对个人和家庭的补助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41E92"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201.51</w:t>
            </w:r>
          </w:p>
        </w:tc>
      </w:tr>
      <w:tr w14:paraId="4928DA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4FC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公用经费</w:t>
            </w:r>
          </w:p>
        </w:tc>
        <w:tc>
          <w:tcPr>
            <w:tcW w:w="4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BCA8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、学校日常运行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(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办公支出、维护维修费、培训费、三公经费等支出）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0C57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商品和服务支出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0305A"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630.2</w:t>
            </w:r>
          </w:p>
        </w:tc>
      </w:tr>
      <w:tr w14:paraId="3C8CE7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29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3DFD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AE659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6E04B"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4142.73</w:t>
            </w:r>
          </w:p>
        </w:tc>
      </w:tr>
    </w:tbl>
    <w:p w14:paraId="2884BFE8">
      <w:pPr>
        <w:widowControl/>
        <w:shd w:val="clear" w:color="auto" w:fill="FFFFFF"/>
        <w:spacing w:line="580" w:lineRule="atLeast"/>
        <w:ind w:firstLine="414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仿宋" w:hAnsi="仿宋" w:eastAsia="仿宋" w:cs="宋体"/>
          <w:spacing w:val="-2"/>
          <w:kern w:val="0"/>
          <w:sz w:val="28"/>
          <w:szCs w:val="28"/>
        </w:rPr>
        <w:t>2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</w:rPr>
        <w:t>、“三公”经费的使用和管理情况</w:t>
      </w:r>
    </w:p>
    <w:p w14:paraId="5FDBBF79">
      <w:pPr>
        <w:widowControl/>
        <w:shd w:val="clear" w:color="auto" w:fill="FFFFFF"/>
        <w:spacing w:line="580" w:lineRule="atLeast"/>
        <w:ind w:firstLine="414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仿宋" w:hAnsi="仿宋" w:eastAsia="仿宋" w:cs="宋体"/>
          <w:spacing w:val="-2"/>
          <w:kern w:val="0"/>
          <w:sz w:val="28"/>
          <w:szCs w:val="28"/>
        </w:rPr>
        <w:t>20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</w:rPr>
        <w:t>年“三公”经费实际支出</w:t>
      </w:r>
      <w:r>
        <w:rPr>
          <w:rFonts w:ascii="仿宋" w:hAnsi="仿宋" w:eastAsia="仿宋" w:cs="宋体"/>
          <w:spacing w:val="-2"/>
          <w:kern w:val="0"/>
          <w:sz w:val="28"/>
          <w:szCs w:val="28"/>
        </w:rPr>
        <w:t>0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</w:rPr>
        <w:t>万元，其中，因公出国（境）费</w:t>
      </w:r>
      <w:r>
        <w:rPr>
          <w:rFonts w:ascii="仿宋" w:hAnsi="仿宋" w:eastAsia="仿宋" w:cs="宋体"/>
          <w:spacing w:val="-2"/>
          <w:kern w:val="0"/>
          <w:sz w:val="28"/>
          <w:szCs w:val="28"/>
        </w:rPr>
        <w:t>0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</w:rPr>
        <w:t>万元，公车运行维护费</w:t>
      </w:r>
      <w:r>
        <w:rPr>
          <w:rFonts w:ascii="仿宋" w:hAnsi="仿宋" w:eastAsia="仿宋" w:cs="宋体"/>
          <w:spacing w:val="-2"/>
          <w:kern w:val="0"/>
          <w:sz w:val="28"/>
          <w:szCs w:val="28"/>
        </w:rPr>
        <w:t>0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</w:rPr>
        <w:t>万元，公务接待费</w:t>
      </w:r>
      <w:r>
        <w:rPr>
          <w:rFonts w:ascii="仿宋" w:hAnsi="仿宋" w:eastAsia="仿宋" w:cs="宋体"/>
          <w:spacing w:val="-2"/>
          <w:kern w:val="0"/>
          <w:sz w:val="28"/>
          <w:szCs w:val="28"/>
        </w:rPr>
        <w:t>0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</w:rPr>
        <w:t>万元。</w:t>
      </w:r>
    </w:p>
    <w:p w14:paraId="036988D5">
      <w:pPr>
        <w:pStyle w:val="4"/>
        <w:widowControl/>
        <w:ind w:firstLine="643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（二）项目支出情况</w:t>
      </w:r>
    </w:p>
    <w:p w14:paraId="0BD8EE9D">
      <w:pPr>
        <w:widowControl/>
        <w:shd w:val="clear" w:color="auto" w:fill="FFFFFF"/>
        <w:spacing w:line="580" w:lineRule="atLeast"/>
        <w:ind w:firstLine="640"/>
        <w:jc w:val="left"/>
        <w:rPr>
          <w:rFonts w:hint="default" w:ascii="仿宋" w:hAnsi="仿宋" w:eastAsia="仿宋" w:cs="宋体"/>
          <w:spacing w:val="-2"/>
          <w:kern w:val="0"/>
          <w:sz w:val="28"/>
          <w:szCs w:val="28"/>
          <w:lang w:val="en-US" w:eastAsia="zh-CN"/>
        </w:rPr>
      </w:pPr>
      <w:r>
        <w:rPr>
          <w:rFonts w:ascii="仿宋" w:hAnsi="仿宋" w:eastAsia="仿宋" w:cs="宋体"/>
          <w:spacing w:val="-2"/>
          <w:kern w:val="0"/>
          <w:sz w:val="28"/>
          <w:szCs w:val="28"/>
        </w:rPr>
        <w:t>202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</w:rPr>
        <w:t>年度，我校项目支出合计为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val="en-US" w:eastAsia="zh-CN"/>
        </w:rPr>
        <w:t>10072.33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</w:rPr>
        <w:t>万元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val="en-US" w:eastAsia="zh-CN"/>
        </w:rPr>
        <w:t>包括财政以项目资金下达的非项目资金和年终追加资金、实际项目资金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</w:rPr>
        <w:t>，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val="en-US" w:eastAsia="zh-CN"/>
        </w:rPr>
        <w:t>其中属于学校工程项目支出共计8265.81万元：</w:t>
      </w:r>
    </w:p>
    <w:p w14:paraId="346DFD37">
      <w:pPr>
        <w:widowControl/>
        <w:shd w:val="clear" w:color="auto" w:fill="FFFFFF"/>
        <w:spacing w:line="580" w:lineRule="atLeast"/>
        <w:ind w:firstLine="640"/>
        <w:jc w:val="left"/>
        <w:rPr>
          <w:rFonts w:ascii="仿宋" w:hAnsi="仿宋" w:eastAsia="仿宋" w:cs="宋体"/>
          <w:spacing w:val="-2"/>
          <w:kern w:val="0"/>
          <w:sz w:val="28"/>
          <w:szCs w:val="28"/>
        </w:rPr>
      </w:pPr>
      <w:r>
        <w:rPr>
          <w:rFonts w:ascii="仿宋" w:hAnsi="仿宋" w:eastAsia="仿宋" w:cs="宋体"/>
          <w:spacing w:val="-2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</w:rPr>
        <w:t>、初中部扩建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val="en-US" w:eastAsia="zh-CN"/>
        </w:rPr>
        <w:t>7997.53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</w:rPr>
        <w:t>万元</w:t>
      </w:r>
    </w:p>
    <w:p w14:paraId="0323191E">
      <w:pPr>
        <w:widowControl/>
        <w:shd w:val="clear" w:color="auto" w:fill="FFFFFF"/>
        <w:spacing w:line="580" w:lineRule="atLeast"/>
        <w:ind w:firstLine="640"/>
        <w:jc w:val="left"/>
        <w:rPr>
          <w:rFonts w:ascii="仿宋" w:hAnsi="仿宋" w:eastAsia="仿宋" w:cs="宋体"/>
          <w:spacing w:val="-2"/>
          <w:kern w:val="0"/>
          <w:sz w:val="28"/>
          <w:szCs w:val="28"/>
        </w:rPr>
      </w:pPr>
      <w:r>
        <w:rPr>
          <w:rFonts w:ascii="仿宋" w:hAnsi="仿宋" w:eastAsia="仿宋" w:cs="宋体"/>
          <w:spacing w:val="-2"/>
          <w:kern w:val="0"/>
          <w:sz w:val="28"/>
          <w:szCs w:val="28"/>
        </w:rPr>
        <w:t>2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</w:rPr>
        <w:t>、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val="en-US" w:eastAsia="zh-CN"/>
        </w:rPr>
        <w:t>电气线路改造工程47.35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</w:rPr>
        <w:t>万元</w:t>
      </w:r>
    </w:p>
    <w:p w14:paraId="6BA66403">
      <w:pPr>
        <w:widowControl/>
        <w:shd w:val="clear" w:color="auto" w:fill="FFFFFF"/>
        <w:spacing w:line="580" w:lineRule="atLeast"/>
        <w:ind w:firstLine="640"/>
        <w:jc w:val="left"/>
        <w:rPr>
          <w:rFonts w:hint="eastAsia" w:ascii="仿宋" w:hAnsi="仿宋" w:eastAsia="仿宋" w:cs="宋体"/>
          <w:spacing w:val="-2"/>
          <w:kern w:val="0"/>
          <w:sz w:val="28"/>
          <w:szCs w:val="28"/>
        </w:rPr>
      </w:pPr>
      <w:r>
        <w:rPr>
          <w:rFonts w:ascii="仿宋" w:hAnsi="仿宋" w:eastAsia="仿宋" w:cs="宋体"/>
          <w:spacing w:val="-2"/>
          <w:kern w:val="0"/>
          <w:sz w:val="28"/>
          <w:szCs w:val="28"/>
        </w:rPr>
        <w:t>3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</w:rPr>
        <w:t>、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val="en-US" w:eastAsia="zh-CN"/>
        </w:rPr>
        <w:t>男生宿舍厕所改造工程76.86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</w:rPr>
        <w:t>万元</w:t>
      </w:r>
    </w:p>
    <w:p w14:paraId="3893F273">
      <w:pPr>
        <w:widowControl/>
        <w:shd w:val="clear" w:color="auto" w:fill="FFFFFF"/>
        <w:spacing w:line="580" w:lineRule="atLeast"/>
        <w:ind w:firstLine="640"/>
        <w:jc w:val="left"/>
        <w:rPr>
          <w:rFonts w:hint="eastAsia" w:ascii="仿宋" w:hAnsi="仿宋" w:eastAsia="仿宋" w:cs="宋体"/>
          <w:spacing w:val="-2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val="en-US" w:eastAsia="zh-CN"/>
        </w:rPr>
        <w:t>4、外墙装饰工程106.25万元</w:t>
      </w:r>
    </w:p>
    <w:p w14:paraId="2DB80EC0">
      <w:pPr>
        <w:widowControl/>
        <w:shd w:val="clear" w:color="auto" w:fill="FFFFFF"/>
        <w:spacing w:line="580" w:lineRule="atLeast"/>
        <w:ind w:firstLine="640"/>
        <w:jc w:val="left"/>
        <w:rPr>
          <w:rFonts w:hint="default" w:ascii="仿宋" w:hAnsi="仿宋" w:eastAsia="仿宋" w:cs="宋体"/>
          <w:spacing w:val="-2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val="en-US" w:eastAsia="zh-CN"/>
        </w:rPr>
        <w:t>5、校大门左侧匝道改造停车场工程37.82万元</w:t>
      </w:r>
    </w:p>
    <w:p w14:paraId="6B225DE4">
      <w:pPr>
        <w:widowControl/>
        <w:shd w:val="clear" w:color="auto" w:fill="FFFFFF"/>
        <w:spacing w:line="580" w:lineRule="atLeast"/>
        <w:ind w:firstLine="640"/>
        <w:jc w:val="left"/>
        <w:rPr>
          <w:rFonts w:ascii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spacing w:val="-2"/>
          <w:kern w:val="0"/>
          <w:sz w:val="28"/>
          <w:szCs w:val="28"/>
        </w:rPr>
        <w:t>学校项目支出严格按照国家财经法规、预算资金管理办法、财务管理制度以及专项资金管理办法的规定，围绕预算分配权、资金拨付权、行政审批权等关键环节和岗位加强监管工作，把项目资金的审批分配、监督检查与绩效评价结合起来，做到专款专用。遵循先预算、再审批、后支出的原则，确保了财政资金分配和财政审批程序合法，保证了项目资金的合理使用。</w:t>
      </w:r>
    </w:p>
    <w:p w14:paraId="33C758A4">
      <w:pPr>
        <w:widowControl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</w:t>
      </w:r>
      <w:r>
        <w:rPr>
          <w:rFonts w:ascii="Times New Roman" w:hAnsi="Times New Roman" w:eastAsia="黑体"/>
          <w:sz w:val="32"/>
          <w:szCs w:val="32"/>
        </w:rPr>
        <w:t>、部门整体支出绩效情况</w:t>
      </w:r>
    </w:p>
    <w:p w14:paraId="60A46532">
      <w:pPr>
        <w:widowControl/>
        <w:shd w:val="clear" w:color="auto" w:fill="FFFFFF"/>
        <w:spacing w:line="420" w:lineRule="atLeast"/>
        <w:ind w:firstLine="56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仿宋_GB2312" w:hAnsi="宋体" w:eastAsia="仿宋_GB2312" w:cs="宋体"/>
          <w:kern w:val="0"/>
          <w:sz w:val="28"/>
          <w:szCs w:val="28"/>
        </w:rPr>
        <w:t>1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、本部门支出绩效总体良好，各项目标达到了相应时期执行进度，各项专项经费按预算实施，使财政收支预算执行都得了良好的制度保障和实施效果，圆满完成了学校的年度目标任务；</w:t>
      </w:r>
    </w:p>
    <w:p w14:paraId="480DB043">
      <w:pPr>
        <w:widowControl/>
        <w:shd w:val="clear" w:color="auto" w:fill="FFFFFF"/>
        <w:spacing w:line="420" w:lineRule="atLeast"/>
        <w:ind w:firstLine="56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仿宋_GB2312" w:hAnsi="宋体" w:eastAsia="仿宋_GB2312" w:cs="宋体"/>
          <w:kern w:val="0"/>
          <w:sz w:val="28"/>
          <w:szCs w:val="28"/>
        </w:rPr>
        <w:t>2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、教育教学成绩斐然，本年度高考、中考、学考教学质量继续领跑全市；</w:t>
      </w:r>
    </w:p>
    <w:p w14:paraId="14821C69">
      <w:pPr>
        <w:widowControl/>
        <w:shd w:val="clear" w:color="auto" w:fill="FFFFFF"/>
        <w:spacing w:line="420" w:lineRule="atLeast"/>
        <w:ind w:firstLine="56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仿宋_GB2312" w:hAnsi="宋体" w:eastAsia="仿宋_GB2312" w:cs="宋体"/>
          <w:kern w:val="0"/>
          <w:sz w:val="28"/>
          <w:szCs w:val="28"/>
        </w:rPr>
        <w:t>3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、按照学校建设规划，学校项目建设有序推进；</w:t>
      </w:r>
    </w:p>
    <w:p w14:paraId="4FEE2728">
      <w:pPr>
        <w:widowControl/>
        <w:shd w:val="clear" w:color="auto" w:fill="FFFFFF"/>
        <w:spacing w:line="420" w:lineRule="atLeast"/>
        <w:ind w:firstLine="56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ascii="仿宋_GB2312" w:hAnsi="宋体" w:eastAsia="仿宋_GB2312" w:cs="宋体"/>
          <w:kern w:val="0"/>
          <w:sz w:val="28"/>
          <w:szCs w:val="28"/>
        </w:rPr>
        <w:t>4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、学校安全大局稳定，没有出现重大安全事故。</w:t>
      </w:r>
    </w:p>
    <w:p w14:paraId="4D919A1A">
      <w:pPr>
        <w:widowControl/>
        <w:shd w:val="clear" w:color="auto" w:fill="FFFFFF"/>
        <w:spacing w:line="420" w:lineRule="atLeast"/>
        <w:ind w:firstLine="560"/>
        <w:jc w:val="left"/>
        <w:rPr>
          <w:rFonts w:ascii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5、学校师生及家长对学校的满意度高。</w:t>
      </w:r>
    </w:p>
    <w:p w14:paraId="37BF8D71">
      <w:pPr>
        <w:pStyle w:val="4"/>
        <w:widowControl/>
        <w:ind w:firstLine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四</w:t>
      </w:r>
      <w:r>
        <w:rPr>
          <w:rFonts w:eastAsia="黑体"/>
          <w:sz w:val="32"/>
          <w:szCs w:val="32"/>
        </w:rPr>
        <w:t>、存在的问题及原因分析</w:t>
      </w:r>
    </w:p>
    <w:p w14:paraId="7740FEFF">
      <w:pPr>
        <w:widowControl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ascii="仿宋_GB2312" w:hAnsi="宋体" w:eastAsia="仿宋_GB2312" w:cs="宋体"/>
          <w:kern w:val="0"/>
          <w:sz w:val="28"/>
          <w:szCs w:val="28"/>
        </w:rPr>
        <w:t>1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学校初中部扩建项目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已完成竣工验收合格并投入使用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，希望财政能及时下拨项目资金，保证工程如期完成并交付使用。</w:t>
      </w:r>
    </w:p>
    <w:p w14:paraId="4D88CB7A">
      <w:pPr>
        <w:widowControl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ascii="仿宋_GB2312" w:hAnsi="宋体" w:eastAsia="仿宋_GB2312" w:cs="宋体"/>
          <w:kern w:val="0"/>
          <w:sz w:val="28"/>
          <w:szCs w:val="28"/>
        </w:rPr>
        <w:t>2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val="en-US" w:eastAsia="zh-CN"/>
        </w:rPr>
        <w:t>衡钢中学外墙装修工程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已完成竣工验收合格，希望财政能及时下拨项目资金支付工程尾款。</w:t>
      </w:r>
    </w:p>
    <w:p w14:paraId="69A896F9">
      <w:pPr>
        <w:widowControl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3、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val="en-US" w:eastAsia="zh-CN"/>
        </w:rPr>
        <w:t>衡钢中学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eastAsia="zh-CN"/>
        </w:rPr>
        <w:t>校大门左侧匝道改造停车场工程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已完成竣工验收合格，希望财政能及时下拨项目资金支付工程尾款。</w:t>
      </w:r>
    </w:p>
    <w:p w14:paraId="597A2B56">
      <w:pPr>
        <w:widowControl/>
        <w:ind w:firstLine="560" w:firstLineChars="200"/>
        <w:rPr>
          <w:rFonts w:ascii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eastAsia="zh-CN"/>
        </w:rPr>
        <w:t>初中部扩建项目食堂厨房进行二次装修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val="en-US" w:eastAsia="zh-CN"/>
        </w:rPr>
        <w:t>工程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已完成竣工验收合格，希望财政能及时下拨项目资金支付工程尾款。</w:t>
      </w:r>
      <w:bookmarkStart w:id="0" w:name="_GoBack"/>
      <w:bookmarkEnd w:id="0"/>
      <w:r>
        <w:rPr>
          <w:rFonts w:ascii="仿宋_GB2312" w:hAnsi="宋体" w:eastAsia="仿宋_GB2312" w:cs="宋体"/>
          <w:kern w:val="0"/>
          <w:sz w:val="28"/>
          <w:szCs w:val="28"/>
        </w:rPr>
        <w:t xml:space="preserve">                                      </w:t>
      </w:r>
    </w:p>
    <w:p w14:paraId="17C731F5">
      <w:pPr>
        <w:widowControl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五</w:t>
      </w:r>
      <w:r>
        <w:rPr>
          <w:rFonts w:ascii="Times New Roman" w:hAnsi="Times New Roman" w:eastAsia="黑体"/>
          <w:sz w:val="32"/>
          <w:szCs w:val="32"/>
        </w:rPr>
        <w:t>、下一步改进措施</w:t>
      </w:r>
    </w:p>
    <w:p w14:paraId="2C137618">
      <w:pPr>
        <w:widowControl/>
        <w:ind w:firstLine="56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我单位今后在执行过程中，做到严格控制支出，合理安排经费，做到细化支出，确保绩效执行和年初设定的绩效相一致。同时一方面建议财政部门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下达资金管理类型和项目判定</w:t>
      </w:r>
      <w:r>
        <w:rPr>
          <w:rFonts w:hint="eastAsia" w:ascii="仿宋" w:hAnsi="仿宋" w:eastAsia="仿宋" w:cs="宋体"/>
          <w:kern w:val="0"/>
          <w:sz w:val="28"/>
          <w:szCs w:val="28"/>
        </w:rPr>
        <w:t>标准上达成一致，以免造成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预算一体化数据和实际项目支出有出入</w:t>
      </w:r>
      <w:r>
        <w:rPr>
          <w:rFonts w:hint="eastAsia" w:ascii="仿宋" w:hAnsi="仿宋" w:eastAsia="仿宋" w:cs="宋体"/>
          <w:kern w:val="0"/>
          <w:sz w:val="28"/>
          <w:szCs w:val="28"/>
        </w:rPr>
        <w:t>；另一方面因学校扩建，学生和老师人数增加，希望财政部门能增加经费拨付，以保证学校的正常运作。</w:t>
      </w:r>
    </w:p>
    <w:p w14:paraId="3BB598B9">
      <w:pPr>
        <w:widowControl/>
        <w:ind w:firstLine="640" w:firstLineChars="200"/>
        <w:rPr>
          <w:rFonts w:ascii="Times New Roman" w:hAnsi="Times New Roman" w:eastAsia="Times New Roman"/>
          <w:sz w:val="32"/>
          <w:szCs w:val="32"/>
        </w:rPr>
      </w:pPr>
    </w:p>
    <w:p w14:paraId="266250CF">
      <w:pPr>
        <w:widowControl/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 w14:paraId="370E0E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471B4E"/>
    <w:multiLevelType w:val="multilevel"/>
    <w:tmpl w:val="1F471B4E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ind w:left="178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NDEyYzIwMTUxMGJkYmJhMTczZDM4N2JlZGIwNmMifQ=="/>
  </w:docVars>
  <w:rsids>
    <w:rsidRoot w:val="00000000"/>
    <w:rsid w:val="1A226F32"/>
    <w:rsid w:val="3BBB5C57"/>
    <w:rsid w:val="3D7A55F0"/>
    <w:rsid w:val="429531AD"/>
    <w:rsid w:val="48031D86"/>
    <w:rsid w:val="5A881E99"/>
    <w:rsid w:val="623C109C"/>
    <w:rsid w:val="6719412D"/>
    <w:rsid w:val="709749EE"/>
    <w:rsid w:val="79695C58"/>
    <w:rsid w:val="7CB41EA6"/>
    <w:rsid w:val="7E9A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1222</Words>
  <Characters>1300</Characters>
  <Lines>0</Lines>
  <Paragraphs>0</Paragraphs>
  <TotalTime>62</TotalTime>
  <ScaleCrop>false</ScaleCrop>
  <LinksUpToDate>false</LinksUpToDate>
  <CharactersWithSpaces>1344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2024-03-20T07:42:00Z</dcterms:created>
  <dc:creator>Administrator</dc:creator>
  <cp:lastModifiedBy>悬崖草</cp:lastModifiedBy>
  <dcterms:modified xsi:type="dcterms:W3CDTF">2025-02-21T07:46:40Z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D9B0F4FB3E3947B8B48129D84F2A83EA_12</vt:lpwstr>
  </property>
  <property fmtid="{D5CDD505-2E9C-101B-9397-08002B2CF9AE}" pid="4" name="KSOTemplateDocerSaveRecord">
    <vt:lpwstr>eyJoZGlkIjoiMThiNDEyYzIwMTUxMGJkYmJhMTczZDM4N2JlZGIwNmMiLCJ1c2VySWQiOiI0NDAzOTc0MDEifQ==</vt:lpwstr>
  </property>
</Properties>
</file>